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276860</wp:posOffset>
            </wp:positionH>
            <wp:positionV relativeFrom="page">
              <wp:posOffset>166370</wp:posOffset>
            </wp:positionV>
            <wp:extent cx="699516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page">
              <wp:posOffset>276860</wp:posOffset>
            </wp:positionH>
            <wp:positionV relativeFrom="page">
              <wp:posOffset>208915</wp:posOffset>
            </wp:positionV>
            <wp:extent cx="699516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995160" cy="8255"/>
                    </a:xfrm>
                    <a:prstGeom prst="rect">
                      <a:avLst/>
                    </a:prstGeom>
                    <a:noFill/>
                  </pic:spPr>
                </pic:pic>
              </a:graphicData>
            </a:graphic>
          </wp:anchor>
        </w:drawing>
        <w:t>UNITED STATES</w:t>
      </w:r>
    </w:p>
    <w:p>
      <w:pPr>
        <w:spacing w:after="0" w:line="37"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193040</wp:posOffset>
            </wp:positionV>
            <wp:extent cx="147447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12"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224790</wp:posOffset>
            </wp:positionV>
            <wp:extent cx="1474470"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78"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8"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PURSUANT TO SECTION 13 OR 15(d)</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124"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February 3, 2025</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219075</wp:posOffset>
            </wp:positionV>
            <wp:extent cx="1474470" cy="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50"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42"/>
          <w:szCs w:val="42"/>
          <w:b w:val="1"/>
          <w:bCs w:val="1"/>
          <w:color w:val="auto"/>
        </w:rPr>
        <w:t>MICROSTRATEGY INCORPORATED</w:t>
      </w:r>
    </w:p>
    <w:p>
      <w:pPr>
        <w:spacing w:after="0" w:line="70"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201930</wp:posOffset>
            </wp:positionV>
            <wp:extent cx="1474470" cy="889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1474470" cy="8890"/>
                    </a:xfrm>
                    <a:prstGeom prst="rect">
                      <a:avLst/>
                    </a:prstGeom>
                    <a:noFill/>
                  </pic:spPr>
                </pic:pic>
              </a:graphicData>
            </a:graphic>
          </wp:anchor>
        </w:drawing>
      </w:r>
    </w:p>
    <w:p>
      <w:pPr>
        <w:sectPr>
          <w:pgSz w:w="11900" w:h="16838" w:orient="portrait"/>
          <w:cols w:equalWidth="0" w:num="1">
            <w:col w:w="11020"/>
          </w:cols>
          <w:pgMar w:left="440" w:top="376" w:right="439" w:bottom="1440" w:gutter="0" w:footer="0" w:header="0"/>
        </w:sectPr>
      </w:pPr>
    </w:p>
    <w:p>
      <w:pPr>
        <w:spacing w:after="0" w:line="200" w:lineRule="exact"/>
        <w:rPr>
          <w:sz w:val="24"/>
          <w:szCs w:val="24"/>
          <w:color w:val="auto"/>
        </w:rPr>
      </w:pPr>
    </w:p>
    <w:p>
      <w:pPr>
        <w:spacing w:after="0" w:line="352" w:lineRule="exact"/>
        <w:rPr>
          <w:sz w:val="24"/>
          <w:szCs w:val="24"/>
          <w:color w:val="auto"/>
        </w:rPr>
      </w:pPr>
    </w:p>
    <w:p>
      <w:pPr>
        <w:ind w:left="1500"/>
        <w:spacing w:after="0"/>
        <w:rPr>
          <w:sz w:val="20"/>
          <w:szCs w:val="20"/>
          <w:color w:val="auto"/>
        </w:rPr>
      </w:pPr>
      <w:r>
        <w:rPr>
          <w:rFonts w:ascii="Times New Roman" w:cs="Times New Roman" w:eastAsia="Times New Roman" w:hAnsi="Times New Roman"/>
          <w:sz w:val="17"/>
          <w:szCs w:val="17"/>
          <w:b w:val="1"/>
          <w:bCs w:val="1"/>
          <w:color w:val="auto"/>
        </w:rPr>
        <w:t>Delaware</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332" w:lineRule="exact"/>
        <w:rPr>
          <w:sz w:val="24"/>
          <w:szCs w:val="24"/>
          <w:color w:val="auto"/>
        </w:rPr>
      </w:pPr>
    </w:p>
    <w:p>
      <w:pPr>
        <w:jc w:val="center"/>
        <w:ind w:right="2180"/>
        <w:spacing w:after="0"/>
        <w:rPr>
          <w:sz w:val="20"/>
          <w:szCs w:val="20"/>
          <w:color w:val="auto"/>
        </w:rPr>
      </w:pPr>
      <w:r>
        <w:rPr>
          <w:rFonts w:ascii="Times New Roman" w:cs="Times New Roman" w:eastAsia="Times New Roman" w:hAnsi="Times New Roman"/>
          <w:sz w:val="17"/>
          <w:szCs w:val="17"/>
          <w:b w:val="1"/>
          <w:bCs w:val="1"/>
          <w:color w:val="auto"/>
        </w:rPr>
        <w:t>0-24435</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332"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51-0323571</w:t>
      </w:r>
    </w:p>
    <w:p>
      <w:pPr>
        <w:spacing w:after="0" w:line="24" w:lineRule="exact"/>
        <w:rPr>
          <w:sz w:val="24"/>
          <w:szCs w:val="24"/>
          <w:color w:val="auto"/>
        </w:rPr>
      </w:pPr>
    </w:p>
    <w:p>
      <w:pPr>
        <w:sectPr>
          <w:pgSz w:w="11900" w:h="16838" w:orient="portrait"/>
          <w:cols w:equalWidth="0" w:num="3">
            <w:col w:w="4600" w:space="720"/>
            <w:col w:w="2780" w:space="720"/>
            <w:col w:w="2200"/>
          </w:cols>
          <w:pgMar w:left="440" w:top="376" w:right="439" w:bottom="1440" w:gutter="0" w:footer="0" w:header="0"/>
          <w:type w:val="continuous"/>
        </w:sectPr>
      </w:pP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(State or other jurisdiction</w:t>
      </w: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of incorporation)</w:t>
      </w:r>
    </w:p>
    <w:p>
      <w:pPr>
        <w:spacing w:after="0" w:line="20" w:lineRule="exact"/>
        <w:rPr>
          <w:sz w:val="24"/>
          <w:szCs w:val="24"/>
          <w:color w:val="auto"/>
        </w:rPr>
      </w:pPr>
      <w:r>
        <w:rPr>
          <w:sz w:val="24"/>
          <w:szCs w:val="24"/>
          <w:color w:val="auto"/>
        </w:rPr>
        <w:br w:type="column"/>
      </w:r>
    </w:p>
    <w:p>
      <w:pPr>
        <w:ind w:left="20"/>
        <w:spacing w:after="0"/>
        <w:rPr>
          <w:sz w:val="20"/>
          <w:szCs w:val="20"/>
          <w:color w:val="auto"/>
        </w:rPr>
      </w:pPr>
      <w:r>
        <w:rPr>
          <w:rFonts w:ascii="Times New Roman" w:cs="Times New Roman" w:eastAsia="Times New Roman" w:hAnsi="Times New Roman"/>
          <w:sz w:val="14"/>
          <w:szCs w:val="14"/>
          <w:b w:val="1"/>
          <w:bCs w:val="1"/>
          <w:color w:val="auto"/>
        </w:rPr>
        <w:t>(Commission</w:t>
      </w:r>
    </w:p>
    <w:p>
      <w:pPr>
        <w:spacing w:after="0"/>
        <w:rPr>
          <w:sz w:val="20"/>
          <w:szCs w:val="20"/>
          <w:color w:val="auto"/>
        </w:rPr>
      </w:pPr>
      <w:r>
        <w:rPr>
          <w:rFonts w:ascii="Times New Roman" w:cs="Times New Roman" w:eastAsia="Times New Roman" w:hAnsi="Times New Roman"/>
          <w:sz w:val="14"/>
          <w:szCs w:val="14"/>
          <w:b w:val="1"/>
          <w:bCs w:val="1"/>
          <w:color w:val="auto"/>
        </w:rPr>
        <w:t>File Number)</w:t>
      </w:r>
    </w:p>
    <w:p>
      <w:pPr>
        <w:spacing w:after="0" w:line="20" w:lineRule="exact"/>
        <w:rPr>
          <w:sz w:val="24"/>
          <w:szCs w:val="24"/>
          <w:color w:val="auto"/>
        </w:rPr>
      </w:pPr>
      <w:r>
        <w:rPr>
          <w:sz w:val="24"/>
          <w:szCs w:val="24"/>
          <w:color w:val="auto"/>
        </w:rPr>
        <w:br w:type="column"/>
      </w:r>
    </w:p>
    <w:p>
      <w:pPr>
        <w:ind w:left="60"/>
        <w:spacing w:after="0"/>
        <w:rPr>
          <w:sz w:val="20"/>
          <w:szCs w:val="20"/>
          <w:color w:val="auto"/>
        </w:rPr>
      </w:pPr>
      <w:r>
        <w:rPr>
          <w:rFonts w:ascii="Times New Roman" w:cs="Times New Roman" w:eastAsia="Times New Roman" w:hAnsi="Times New Roman"/>
          <w:sz w:val="14"/>
          <w:szCs w:val="14"/>
          <w:b w:val="1"/>
          <w:bCs w:val="1"/>
          <w:color w:val="auto"/>
        </w:rPr>
        <w:t>(I.R.S. Employer</w:t>
      </w:r>
    </w:p>
    <w:p>
      <w:pPr>
        <w:spacing w:after="0"/>
        <w:rPr>
          <w:sz w:val="20"/>
          <w:szCs w:val="20"/>
          <w:color w:val="auto"/>
        </w:rPr>
      </w:pPr>
      <w:r>
        <w:rPr>
          <w:rFonts w:ascii="Times New Roman" w:cs="Times New Roman" w:eastAsia="Times New Roman" w:hAnsi="Times New Roman"/>
          <w:sz w:val="14"/>
          <w:szCs w:val="14"/>
          <w:b w:val="1"/>
          <w:bCs w:val="1"/>
          <w:color w:val="auto"/>
        </w:rPr>
        <w:t>Identification No.)</w:t>
      </w:r>
    </w:p>
    <w:p>
      <w:pPr>
        <w:spacing w:after="0" w:line="188" w:lineRule="exact"/>
        <w:rPr>
          <w:sz w:val="24"/>
          <w:szCs w:val="24"/>
          <w:color w:val="auto"/>
        </w:rPr>
      </w:pPr>
    </w:p>
    <w:p>
      <w:pPr>
        <w:sectPr>
          <w:pgSz w:w="11900" w:h="16838" w:orient="portrait"/>
          <w:cols w:equalWidth="0" w:num="3">
            <w:col w:w="4480" w:space="720"/>
            <w:col w:w="2760" w:space="720"/>
            <w:col w:w="2340"/>
          </w:cols>
          <w:pgMar w:left="440" w:top="376" w:right="439" w:bottom="1440" w:gutter="0" w:footer="0" w:header="0"/>
          <w:type w:val="continuous"/>
        </w:sectPr>
      </w:pPr>
    </w:p>
    <w:p>
      <w:pPr>
        <w:jc w:val="center"/>
        <w:ind w:right="1860"/>
        <w:spacing w:after="0"/>
        <w:rPr>
          <w:sz w:val="20"/>
          <w:szCs w:val="20"/>
          <w:color w:val="auto"/>
        </w:rPr>
      </w:pPr>
      <w:r>
        <w:rPr>
          <w:rFonts w:ascii="Times New Roman" w:cs="Times New Roman" w:eastAsia="Times New Roman" w:hAnsi="Times New Roman"/>
          <w:sz w:val="17"/>
          <w:szCs w:val="17"/>
          <w:b w:val="1"/>
          <w:bCs w:val="1"/>
          <w:color w:val="auto"/>
        </w:rPr>
        <w:t>1850 Towers Crescent Plaza</w:t>
      </w:r>
    </w:p>
    <w:p>
      <w:pPr>
        <w:spacing w:after="0" w:line="43" w:lineRule="exact"/>
        <w:rPr>
          <w:sz w:val="24"/>
          <w:szCs w:val="24"/>
          <w:color w:val="auto"/>
        </w:rPr>
      </w:pPr>
    </w:p>
    <w:p>
      <w:pPr>
        <w:jc w:val="center"/>
        <w:ind w:right="1860"/>
        <w:spacing w:after="0"/>
        <w:rPr>
          <w:sz w:val="20"/>
          <w:szCs w:val="20"/>
          <w:color w:val="auto"/>
        </w:rPr>
      </w:pPr>
      <w:r>
        <w:rPr>
          <w:rFonts w:ascii="Times New Roman" w:cs="Times New Roman" w:eastAsia="Times New Roman" w:hAnsi="Times New Roman"/>
          <w:sz w:val="18"/>
          <w:szCs w:val="18"/>
          <w:b w:val="1"/>
          <w:bCs w:val="1"/>
          <w:color w:val="auto"/>
        </w:rPr>
        <w:t>Tysons Corner, Virginia</w:t>
      </w:r>
    </w:p>
    <w:p>
      <w:pPr>
        <w:spacing w:after="0" w:line="20" w:lineRule="exact"/>
        <w:rPr>
          <w:sz w:val="24"/>
          <w:szCs w:val="24"/>
          <w:color w:val="auto"/>
        </w:rPr>
      </w:pPr>
      <w:r>
        <w:rPr>
          <w:sz w:val="24"/>
          <w:szCs w:val="24"/>
          <w:color w:val="auto"/>
        </w:rPr>
        <w:br w:type="column"/>
      </w:r>
    </w:p>
    <w:p>
      <w:pPr>
        <w:spacing w:after="0" w:line="196"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22182</w:t>
      </w:r>
    </w:p>
    <w:p>
      <w:pPr>
        <w:spacing w:after="0" w:line="42" w:lineRule="exact"/>
        <w:rPr>
          <w:sz w:val="24"/>
          <w:szCs w:val="24"/>
          <w:color w:val="auto"/>
        </w:rPr>
      </w:pPr>
    </w:p>
    <w:p>
      <w:pPr>
        <w:sectPr>
          <w:pgSz w:w="11900" w:h="16838" w:orient="portrait"/>
          <w:cols w:equalWidth="0" w:num="2">
            <w:col w:w="7400" w:space="720"/>
            <w:col w:w="2900"/>
          </w:cols>
          <w:pgMar w:left="440" w:top="376" w:right="439" w:bottom="1440" w:gutter="0" w:footer="0" w:header="0"/>
          <w:type w:val="continuous"/>
        </w:sectPr>
      </w:pPr>
    </w:p>
    <w:p>
      <w:pPr>
        <w:ind w:left="1580"/>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4"/>
          <w:szCs w:val="14"/>
          <w:b w:val="1"/>
          <w:bCs w:val="1"/>
          <w:color w:val="auto"/>
        </w:rPr>
        <w:t>(Zip Code)</w:t>
      </w:r>
    </w:p>
    <w:p>
      <w:pPr>
        <w:spacing w:after="0" w:line="127" w:lineRule="exact"/>
        <w:rPr>
          <w:sz w:val="24"/>
          <w:szCs w:val="24"/>
          <w:color w:val="auto"/>
        </w:rPr>
      </w:pPr>
    </w:p>
    <w:p>
      <w:pPr>
        <w:sectPr>
          <w:pgSz w:w="11900" w:h="16838" w:orient="portrait"/>
          <w:cols w:equalWidth="0" w:num="2">
            <w:col w:w="7280" w:space="720"/>
            <w:col w:w="3020"/>
          </w:cols>
          <w:pgMar w:left="440" w:top="376" w:right="439" w:bottom="1440" w:gutter="0" w:footer="0" w:header="0"/>
          <w:type w:val="continuous"/>
        </w:sectPr>
      </w:pPr>
    </w:p>
    <w:p>
      <w:pPr>
        <w:jc w:val="center"/>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371"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205105</wp:posOffset>
            </wp:positionV>
            <wp:extent cx="1474470" cy="889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74470" cy="8890"/>
                    </a:xfrm>
                    <a:prstGeom prst="rect">
                      <a:avLst/>
                    </a:prstGeom>
                    <a:noFill/>
                  </pic:spPr>
                </pic:pic>
              </a:graphicData>
            </a:graphic>
          </wp:anchor>
        </w:drawing>
      </w:r>
    </w:p>
    <w:p>
      <w:pPr>
        <w:spacing w:after="0" w:line="200" w:lineRule="exact"/>
        <w:rPr>
          <w:sz w:val="24"/>
          <w:szCs w:val="24"/>
          <w:color w:val="auto"/>
        </w:rPr>
      </w:pPr>
    </w:p>
    <w:p>
      <w:pPr>
        <w:spacing w:after="0" w:line="260" w:lineRule="exact"/>
        <w:rPr>
          <w:sz w:val="24"/>
          <w:szCs w:val="24"/>
          <w:color w:val="auto"/>
        </w:rPr>
      </w:pPr>
    </w:p>
    <w:p>
      <w:pPr>
        <w:ind w:right="480"/>
        <w:spacing w:after="0" w:line="282"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 (</w:t>
      </w:r>
      <w:r>
        <w:rPr>
          <w:rFonts w:ascii="Times New Roman" w:cs="Times New Roman" w:eastAsia="Times New Roman" w:hAnsi="Times New Roman"/>
          <w:sz w:val="18"/>
          <w:szCs w:val="18"/>
          <w:u w:val="single" w:color="auto"/>
          <w:color w:val="auto"/>
        </w:rPr>
        <w:t>see</w:t>
      </w:r>
      <w:r>
        <w:rPr>
          <w:rFonts w:ascii="Times New Roman" w:cs="Times New Roman" w:eastAsia="Times New Roman" w:hAnsi="Times New Roman"/>
          <w:sz w:val="18"/>
          <w:szCs w:val="18"/>
          <w:color w:val="auto"/>
        </w:rPr>
        <w:t xml:space="preserve"> General Instruction A.2. below):</w:t>
      </w:r>
    </w:p>
    <w:p>
      <w:pPr>
        <w:spacing w:after="0" w:line="67" w:lineRule="exact"/>
        <w:rPr>
          <w:sz w:val="24"/>
          <w:szCs w:val="24"/>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130" w:lineRule="exact"/>
        <w:rPr>
          <w:rFonts w:ascii="MS PGothic" w:cs="MS PGothic" w:eastAsia="MS PGothic" w:hAnsi="MS PGothic"/>
          <w:sz w:val="18"/>
          <w:szCs w:val="18"/>
          <w:color w:val="auto"/>
        </w:rPr>
      </w:pPr>
    </w:p>
    <w:p>
      <w:pPr>
        <w:ind w:right="2020" w:firstLine="428"/>
        <w:spacing w:after="0" w:line="458" w:lineRule="auto"/>
        <w:tabs>
          <w:tab w:leader="none" w:pos="972"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 Securities registered pursuant to Section 12(b) of the Act:</w:t>
      </w:r>
    </w:p>
    <w:tbl>
      <w:tblPr>
        <w:tblLayout w:type="fixed"/>
        <w:tblInd w:w="0" w:type="dxa"/>
        <w:tblCellMar>
          <w:top w:w="0" w:type="dxa"/>
          <w:left w:w="0" w:type="dxa"/>
          <w:bottom w:w="0" w:type="dxa"/>
          <w:right w:w="0" w:type="dxa"/>
        </w:tblCellMar>
      </w:tblPr>
      <w:tr>
        <w:trPr>
          <w:trHeight w:val="149"/>
        </w:trPr>
        <w:tc>
          <w:tcPr>
            <w:tcW w:w="3860" w:type="dxa"/>
            <w:vAlign w:val="bottom"/>
            <w:gridSpan w:val="2"/>
            <w:vMerge w:val="restart"/>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3620" w:type="dxa"/>
            <w:vAlign w:val="bottom"/>
            <w:gridSpan w:val="2"/>
          </w:tcPr>
          <w:p>
            <w:pPr>
              <w:ind w:left="1520"/>
              <w:spacing w:after="0" w:line="149" w:lineRule="exact"/>
              <w:rPr>
                <w:sz w:val="20"/>
                <w:szCs w:val="20"/>
                <w:color w:val="auto"/>
              </w:rPr>
            </w:pPr>
            <w:r>
              <w:rPr>
                <w:rFonts w:ascii="Times New Roman" w:cs="Times New Roman" w:eastAsia="Times New Roman" w:hAnsi="Times New Roman"/>
                <w:sz w:val="14"/>
                <w:szCs w:val="14"/>
                <w:b w:val="1"/>
                <w:bCs w:val="1"/>
                <w:color w:val="auto"/>
              </w:rPr>
              <w:t>Trading</w:t>
            </w:r>
          </w:p>
        </w:tc>
        <w:tc>
          <w:tcPr>
            <w:tcW w:w="354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87"/>
        </w:trPr>
        <w:tc>
          <w:tcPr>
            <w:tcW w:w="3860" w:type="dxa"/>
            <w:vAlign w:val="bottom"/>
            <w:gridSpan w:val="2"/>
            <w:vMerge w:val="continue"/>
          </w:tcPr>
          <w:p>
            <w:pPr>
              <w:spacing w:after="0"/>
              <w:rPr>
                <w:sz w:val="16"/>
                <w:szCs w:val="16"/>
                <w:color w:val="auto"/>
              </w:rPr>
            </w:pP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Symbol</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228"/>
        </w:trPr>
        <w:tc>
          <w:tcPr>
            <w:tcW w:w="37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rPr>
              <w:t>Class A common stock, par value $0.001 per share</w:t>
            </w:r>
          </w:p>
        </w:tc>
        <w:tc>
          <w:tcPr>
            <w:tcW w:w="120" w:type="dxa"/>
            <w:vAlign w:val="bottom"/>
          </w:tcPr>
          <w:p>
            <w:pPr>
              <w:spacing w:after="0"/>
              <w:rPr>
                <w:sz w:val="19"/>
                <w:szCs w:val="19"/>
                <w:color w:val="auto"/>
              </w:rPr>
            </w:pPr>
          </w:p>
        </w:tc>
        <w:tc>
          <w:tcPr>
            <w:tcW w:w="3520" w:type="dxa"/>
            <w:vAlign w:val="bottom"/>
            <w:tcBorders>
              <w:top w:val="single" w:sz="8" w:color="auto"/>
            </w:tcBorders>
          </w:tcPr>
          <w:p>
            <w:pPr>
              <w:ind w:left="1520"/>
              <w:spacing w:after="0"/>
              <w:rPr>
                <w:sz w:val="20"/>
                <w:szCs w:val="20"/>
                <w:color w:val="auto"/>
              </w:rPr>
            </w:pPr>
            <w:r>
              <w:rPr>
                <w:rFonts w:ascii="Times New Roman" w:cs="Times New Roman" w:eastAsia="Times New Roman" w:hAnsi="Times New Roman"/>
                <w:sz w:val="18"/>
                <w:szCs w:val="18"/>
                <w:color w:val="auto"/>
              </w:rPr>
              <w:t>MSTR</w:t>
            </w:r>
          </w:p>
        </w:tc>
        <w:tc>
          <w:tcPr>
            <w:tcW w:w="100" w:type="dxa"/>
            <w:vAlign w:val="bottom"/>
          </w:tcPr>
          <w:p>
            <w:pPr>
              <w:spacing w:after="0"/>
              <w:rPr>
                <w:sz w:val="19"/>
                <w:szCs w:val="19"/>
                <w:color w:val="auto"/>
              </w:rPr>
            </w:pPr>
          </w:p>
        </w:tc>
        <w:tc>
          <w:tcPr>
            <w:tcW w:w="35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bl>
    <w:p>
      <w:pPr>
        <w:spacing w:after="0" w:line="125" w:lineRule="exact"/>
        <w:rPr>
          <w:sz w:val="24"/>
          <w:szCs w:val="24"/>
          <w:color w:val="auto"/>
        </w:rPr>
      </w:pPr>
    </w:p>
    <w:p>
      <w:pPr>
        <w:ind w:right="30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(§230.405 of this chapter) or Rule 12b-2 of the Securities Exchange Act of 1934 (§240.12b-2 of this chapter).</w:t>
      </w:r>
    </w:p>
    <w:p>
      <w:pPr>
        <w:spacing w:after="0" w:line="67" w:lineRule="exact"/>
        <w:rPr>
          <w:sz w:val="24"/>
          <w:szCs w:val="24"/>
          <w:color w:val="auto"/>
        </w:rPr>
      </w:pPr>
    </w:p>
    <w:p>
      <w:pPr>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212" w:lineRule="exact"/>
        <w:rPr>
          <w:sz w:val="24"/>
          <w:szCs w:val="24"/>
          <w:color w:val="auto"/>
        </w:rPr>
      </w:pPr>
    </w:p>
    <w:p>
      <w:pPr>
        <w:ind w:right="30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-1905</wp:posOffset>
            </wp:positionH>
            <wp:positionV relativeFrom="paragraph">
              <wp:posOffset>128270</wp:posOffset>
            </wp:positionV>
            <wp:extent cx="6995160" cy="889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-1905</wp:posOffset>
            </wp:positionH>
            <wp:positionV relativeFrom="paragraph">
              <wp:posOffset>171450</wp:posOffset>
            </wp:positionV>
            <wp:extent cx="6995160" cy="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995160" cy="8890"/>
                    </a:xfrm>
                    <a:prstGeom prst="rect">
                      <a:avLst/>
                    </a:prstGeom>
                    <a:noFill/>
                  </pic:spPr>
                </pic:pic>
              </a:graphicData>
            </a:graphic>
          </wp:anchor>
        </w:drawing>
      </w:r>
    </w:p>
    <w:p>
      <w:pPr>
        <w:sectPr>
          <w:pgSz w:w="11900" w:h="16838" w:orient="portrait"/>
          <w:cols w:equalWidth="0" w:num="1">
            <w:col w:w="11020"/>
          </w:cols>
          <w:pgMar w:left="440" w:top="376" w:right="439" w:bottom="1440" w:gutter="0" w:footer="0" w:header="0"/>
          <w:type w:val="continuous"/>
        </w:sectPr>
      </w:pPr>
    </w:p>
    <w:bookmarkStart w:id="1" w:name="page2"/>
    <w:bookmarkEnd w:id="1"/>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8.01.</w:t>
      </w:r>
      <w:r>
        <w:rPr>
          <w:sz w:val="20"/>
          <w:szCs w:val="20"/>
          <w:color w:val="auto"/>
        </w:rPr>
        <w:tab/>
      </w:r>
      <w:r>
        <w:rPr>
          <w:rFonts w:ascii="Times New Roman" w:cs="Times New Roman" w:eastAsia="Times New Roman" w:hAnsi="Times New Roman"/>
          <w:sz w:val="18"/>
          <w:szCs w:val="18"/>
          <w:b w:val="1"/>
          <w:bCs w:val="1"/>
          <w:color w:val="auto"/>
        </w:rPr>
        <w:t>Other Events.</w:t>
      </w:r>
    </w:p>
    <w:p>
      <w:pPr>
        <w:spacing w:after="0" w:line="121" w:lineRule="exact"/>
        <w:rPr>
          <w:sz w:val="20"/>
          <w:szCs w:val="20"/>
          <w:color w:val="auto"/>
        </w:rPr>
      </w:pPr>
    </w:p>
    <w:p>
      <w:pPr>
        <w:ind w:right="80"/>
        <w:spacing w:after="0" w:line="282" w:lineRule="auto"/>
        <w:rPr>
          <w:sz w:val="20"/>
          <w:szCs w:val="20"/>
          <w:color w:val="auto"/>
        </w:rPr>
      </w:pPr>
      <w:r>
        <w:rPr>
          <w:rFonts w:ascii="Times New Roman" w:cs="Times New Roman" w:eastAsia="Times New Roman" w:hAnsi="Times New Roman"/>
          <w:sz w:val="18"/>
          <w:szCs w:val="18"/>
          <w:color w:val="auto"/>
        </w:rPr>
        <w:t>On February 3, 2025, MicroStrategy Incorporated (the “Company”) announced that, during the period between January 27, 2025 and February 2, 2025, the Company did not sell any shares of class A common stock under its at-the-market equity offering program, and did not purchase any bitcoin.</w:t>
      </w:r>
    </w:p>
    <w:p>
      <w:pPr>
        <w:spacing w:after="0" w:line="162" w:lineRule="exact"/>
        <w:rPr>
          <w:sz w:val="20"/>
          <w:szCs w:val="20"/>
          <w:color w:val="auto"/>
        </w:rPr>
      </w:pPr>
    </w:p>
    <w:p>
      <w:pPr>
        <w:spacing w:after="0" w:line="266" w:lineRule="auto"/>
        <w:rPr>
          <w:sz w:val="20"/>
          <w:szCs w:val="20"/>
          <w:color w:val="auto"/>
        </w:rPr>
      </w:pPr>
      <w:r>
        <w:rPr>
          <w:rFonts w:ascii="Times New Roman" w:cs="Times New Roman" w:eastAsia="Times New Roman" w:hAnsi="Times New Roman"/>
          <w:sz w:val="18"/>
          <w:szCs w:val="18"/>
          <w:color w:val="auto"/>
        </w:rPr>
        <w:t>As previously announced, on January 30, 2025, the Company priced its offering of 7,300,000 shares of 8% Series A Perpetual Strike Preferred Stock for $80 per share, for total net proceeds of $563.4 million. This offering is expected to close on February 5, 2025, subject to customary closing conditions, and the Company intends to use the proceeds from this offering for general corporate purposes, including the acquisition of bitcoin.</w:t>
      </w:r>
    </w:p>
    <w:p>
      <w:pPr>
        <w:spacing w:after="0" w:line="176" w:lineRule="exact"/>
        <w:rPr>
          <w:sz w:val="20"/>
          <w:szCs w:val="20"/>
          <w:color w:val="auto"/>
        </w:rPr>
      </w:pPr>
    </w:p>
    <w:p>
      <w:pPr>
        <w:ind w:right="260"/>
        <w:spacing w:after="0" w:line="266" w:lineRule="auto"/>
        <w:rPr>
          <w:sz w:val="20"/>
          <w:szCs w:val="20"/>
          <w:color w:val="auto"/>
        </w:rPr>
      </w:pPr>
      <w:r>
        <w:rPr>
          <w:rFonts w:ascii="Times New Roman" w:cs="Times New Roman" w:eastAsia="Times New Roman" w:hAnsi="Times New Roman"/>
          <w:sz w:val="18"/>
          <w:szCs w:val="18"/>
          <w:color w:val="auto"/>
        </w:rPr>
        <w:t>As of February 2, 2025, the Company, together with its subsidiaries, held an aggregate of approximately 471,107 bitcoins, which were acquired at an aggregate purchase price of approximately $30.4 billion and an average purchase price of approximately $64,511 per bitcoin, inclusive of fees and expenses.</w:t>
      </w:r>
    </w:p>
    <w:p>
      <w:pPr>
        <w:sectPr>
          <w:pgSz w:w="11900" w:h="16838" w:orient="portrait"/>
          <w:cols w:equalWidth="0" w:num="1">
            <w:col w:w="10980"/>
          </w:cols>
          <w:pgMar w:left="440" w:top="293" w:right="479" w:bottom="1440" w:gutter="0" w:footer="0" w:header="0"/>
        </w:sectPr>
      </w:pPr>
    </w:p>
    <w:bookmarkStart w:id="2" w:name="page3"/>
    <w:bookmarkEnd w:id="2"/>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7174865" cy="55245"/>
                    </a:xfrm>
                    <a:prstGeom prst="rect">
                      <a:avLst/>
                    </a:prstGeom>
                    <a:noFill/>
                  </pic:spPr>
                </pic:pic>
              </a:graphicData>
            </a:graphic>
          </wp:anchor>
        </w:drawing>
        <w:t>SIGNATURE</w:t>
      </w:r>
    </w:p>
    <w:p>
      <w:pPr>
        <w:spacing w:after="0" w:line="229" w:lineRule="exact"/>
        <w:rPr>
          <w:sz w:val="20"/>
          <w:szCs w:val="20"/>
          <w:color w:val="auto"/>
        </w:rPr>
      </w:pPr>
    </w:p>
    <w:p>
      <w:pPr>
        <w:ind w:right="2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89"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3600" w:type="dxa"/>
            <w:vAlign w:val="bottom"/>
          </w:tcPr>
          <w:p>
            <w:pPr>
              <w:spacing w:after="0"/>
              <w:rPr>
                <w:sz w:val="20"/>
                <w:szCs w:val="20"/>
                <w:color w:val="auto"/>
              </w:rPr>
            </w:pPr>
            <w:r>
              <w:rPr>
                <w:rFonts w:ascii="Times New Roman" w:cs="Times New Roman" w:eastAsia="Times New Roman" w:hAnsi="Times New Roman"/>
                <w:sz w:val="18"/>
                <w:szCs w:val="18"/>
                <w:color w:val="auto"/>
              </w:rPr>
              <w:t>Date: February 3, 2025</w:t>
            </w:r>
          </w:p>
        </w:tc>
        <w:tc>
          <w:tcPr>
            <w:tcW w:w="7420" w:type="dxa"/>
            <w:vAlign w:val="bottom"/>
            <w:gridSpan w:val="2"/>
          </w:tcPr>
          <w:p>
            <w:pPr>
              <w:ind w:left="192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34"/>
        </w:trPr>
        <w:tc>
          <w:tcPr>
            <w:tcW w:w="3600" w:type="dxa"/>
            <w:vAlign w:val="bottom"/>
          </w:tcPr>
          <w:p>
            <w:pPr>
              <w:spacing w:after="0"/>
              <w:rPr>
                <w:sz w:val="20"/>
                <w:szCs w:val="20"/>
                <w:color w:val="auto"/>
              </w:rPr>
            </w:pPr>
          </w:p>
        </w:tc>
        <w:tc>
          <w:tcPr>
            <w:tcW w:w="7420" w:type="dxa"/>
            <w:vAlign w:val="bottom"/>
            <w:gridSpan w:val="2"/>
          </w:tcPr>
          <w:p>
            <w:pPr>
              <w:ind w:left="1920"/>
              <w:spacing w:after="0"/>
              <w:rPr>
                <w:sz w:val="20"/>
                <w:szCs w:val="20"/>
                <w:color w:val="auto"/>
              </w:rPr>
            </w:pPr>
            <w:r>
              <w:rPr>
                <w:rFonts w:ascii="Times New Roman" w:cs="Times New Roman" w:eastAsia="Times New Roman" w:hAnsi="Times New Roman"/>
                <w:sz w:val="18"/>
                <w:szCs w:val="18"/>
                <w:color w:val="auto"/>
              </w:rPr>
              <w:t>(Registrant)</w:t>
            </w:r>
          </w:p>
        </w:tc>
      </w:tr>
      <w:tr>
        <w:trPr>
          <w:trHeight w:val="432"/>
        </w:trPr>
        <w:tc>
          <w:tcPr>
            <w:tcW w:w="3600" w:type="dxa"/>
            <w:vAlign w:val="bottom"/>
          </w:tcPr>
          <w:p>
            <w:pPr>
              <w:spacing w:after="0"/>
              <w:rPr>
                <w:sz w:val="24"/>
                <w:szCs w:val="24"/>
                <w:color w:val="auto"/>
              </w:rPr>
            </w:pPr>
          </w:p>
        </w:tc>
        <w:tc>
          <w:tcPr>
            <w:tcW w:w="2560" w:type="dxa"/>
            <w:vAlign w:val="bottom"/>
          </w:tcPr>
          <w:p>
            <w:pPr>
              <w:ind w:left="1920"/>
              <w:spacing w:after="0"/>
              <w:rPr>
                <w:sz w:val="20"/>
                <w:szCs w:val="20"/>
                <w:color w:val="auto"/>
              </w:rPr>
            </w:pPr>
            <w:r>
              <w:rPr>
                <w:rFonts w:ascii="Times New Roman" w:cs="Times New Roman" w:eastAsia="Times New Roman" w:hAnsi="Times New Roman"/>
                <w:sz w:val="18"/>
                <w:szCs w:val="18"/>
                <w:color w:val="auto"/>
              </w:rPr>
              <w:t>By:</w:t>
            </w:r>
          </w:p>
        </w:tc>
        <w:tc>
          <w:tcPr>
            <w:tcW w:w="486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rPr>
              <w:t>/s/ W. Ming Shao</w:t>
            </w:r>
          </w:p>
        </w:tc>
      </w:tr>
      <w:tr>
        <w:trPr>
          <w:trHeight w:val="205"/>
        </w:trPr>
        <w:tc>
          <w:tcPr>
            <w:tcW w:w="3600" w:type="dxa"/>
            <w:vAlign w:val="bottom"/>
          </w:tcPr>
          <w:p>
            <w:pPr>
              <w:spacing w:after="0"/>
              <w:rPr>
                <w:sz w:val="17"/>
                <w:szCs w:val="17"/>
                <w:color w:val="auto"/>
              </w:rPr>
            </w:pPr>
          </w:p>
        </w:tc>
        <w:tc>
          <w:tcPr>
            <w:tcW w:w="2560" w:type="dxa"/>
            <w:vAlign w:val="bottom"/>
          </w:tcPr>
          <w:p>
            <w:pPr>
              <w:ind w:left="1920"/>
              <w:spacing w:after="0" w:line="205" w:lineRule="exact"/>
              <w:rPr>
                <w:sz w:val="20"/>
                <w:szCs w:val="20"/>
                <w:color w:val="auto"/>
              </w:rPr>
            </w:pPr>
            <w:r>
              <w:rPr>
                <w:rFonts w:ascii="Times New Roman" w:cs="Times New Roman" w:eastAsia="Times New Roman" w:hAnsi="Times New Roman"/>
                <w:sz w:val="18"/>
                <w:szCs w:val="18"/>
                <w:color w:val="auto"/>
              </w:rPr>
              <w:t>Name:</w:t>
            </w:r>
          </w:p>
        </w:tc>
        <w:tc>
          <w:tcPr>
            <w:tcW w:w="4860" w:type="dxa"/>
            <w:vAlign w:val="bottom"/>
          </w:tcPr>
          <w:p>
            <w:pPr>
              <w:spacing w:after="0" w:line="205" w:lineRule="exact"/>
              <w:rPr>
                <w:sz w:val="20"/>
                <w:szCs w:val="20"/>
                <w:color w:val="auto"/>
              </w:rPr>
            </w:pPr>
            <w:r>
              <w:rPr>
                <w:rFonts w:ascii="Times New Roman" w:cs="Times New Roman" w:eastAsia="Times New Roman" w:hAnsi="Times New Roman"/>
                <w:sz w:val="18"/>
                <w:szCs w:val="18"/>
                <w:color w:val="auto"/>
              </w:rPr>
              <w:t>W. Ming Shao</w:t>
            </w:r>
          </w:p>
        </w:tc>
      </w:tr>
      <w:tr>
        <w:trPr>
          <w:trHeight w:val="234"/>
        </w:trPr>
        <w:tc>
          <w:tcPr>
            <w:tcW w:w="3600" w:type="dxa"/>
            <w:vAlign w:val="bottom"/>
          </w:tcPr>
          <w:p>
            <w:pPr>
              <w:spacing w:after="0"/>
              <w:rPr>
                <w:sz w:val="20"/>
                <w:szCs w:val="20"/>
                <w:color w:val="auto"/>
              </w:rPr>
            </w:pPr>
          </w:p>
        </w:tc>
        <w:tc>
          <w:tcPr>
            <w:tcW w:w="2560" w:type="dxa"/>
            <w:vAlign w:val="bottom"/>
          </w:tcPr>
          <w:p>
            <w:pPr>
              <w:ind w:left="1920"/>
              <w:spacing w:after="0"/>
              <w:rPr>
                <w:sz w:val="20"/>
                <w:szCs w:val="20"/>
                <w:color w:val="auto"/>
              </w:rPr>
            </w:pPr>
            <w:r>
              <w:rPr>
                <w:rFonts w:ascii="Times New Roman" w:cs="Times New Roman" w:eastAsia="Times New Roman" w:hAnsi="Times New Roman"/>
                <w:sz w:val="18"/>
                <w:szCs w:val="18"/>
                <w:color w:val="auto"/>
              </w:rPr>
              <w:t>Title:</w:t>
            </w:r>
          </w:p>
        </w:tc>
        <w:tc>
          <w:tcPr>
            <w:tcW w:w="4860" w:type="dxa"/>
            <w:vAlign w:val="bottom"/>
          </w:tcPr>
          <w:p>
            <w:pPr>
              <w:spacing w:after="0"/>
              <w:rPr>
                <w:sz w:val="20"/>
                <w:szCs w:val="20"/>
                <w:color w:val="auto"/>
              </w:rPr>
            </w:pPr>
            <w:r>
              <w:rPr>
                <w:rFonts w:ascii="Times New Roman" w:cs="Times New Roman" w:eastAsia="Times New Roman" w:hAnsi="Times New Roman"/>
                <w:sz w:val="18"/>
                <w:szCs w:val="18"/>
                <w:color w:val="auto"/>
              </w:rPr>
              <w:t>Executive Vice President &amp; General Counsel</w:t>
            </w:r>
          </w:p>
        </w:tc>
      </w:tr>
    </w:tbl>
    <w:p>
      <w:pPr>
        <w:spacing w:after="0" w:line="1" w:lineRule="exact"/>
        <w:rPr>
          <w:sz w:val="20"/>
          <w:szCs w:val="20"/>
          <w:color w:val="auto"/>
        </w:rPr>
      </w:pPr>
    </w:p>
    <w:sectPr>
      <w:pgSz w:w="11900" w:h="16838" w:orient="portrait"/>
      <w:cols w:equalWidth="0" w:num="1">
        <w:col w:w="11020"/>
      </w:cols>
      <w:pgMar w:left="440" w:top="293" w:right="43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327B23C6"/>
    <w:multiLevelType w:val="hybridMultilevel"/>
    <w:lvl w:ilvl="0">
      <w:lvlJc w:val="left"/>
      <w:lvlText w:val="☐"/>
      <w:numFmt w:val="bullet"/>
      <w:start w:val="1"/>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2025-02-03T07:05:48Z</dcterms:created>
  <dcterms:modified xsi:type="dcterms:W3CDTF">2025-02-03T07:05:48Z</dcterms:modified>
</cp:coreProperties>
</file>